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Times New Roman" w:cs="Times New Roman" w:eastAsia="Times New Roman" w:hAnsi="Times New Roman"/>
          <w:b w:val="1"/>
          <w:i w:val="1"/>
          <w:color w:val="1f497d"/>
          <w:sz w:val="32"/>
          <w:szCs w:val="32"/>
        </w:rPr>
      </w:pPr>
      <w:r w:rsidDel="00000000" w:rsidR="00000000" w:rsidRPr="00000000">
        <w:rPr>
          <w:rFonts w:ascii="Times New Roman" w:cs="Times New Roman" w:eastAsia="Times New Roman" w:hAnsi="Times New Roman"/>
          <w:b w:val="1"/>
          <w:i w:val="1"/>
          <w:color w:val="1f497d"/>
          <w:sz w:val="32"/>
          <w:szCs w:val="32"/>
          <w:rtl w:val="0"/>
        </w:rPr>
        <w:t xml:space="preserve">PREMESSA PTOF 22-25</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1"/>
          <w:smallCaps w:val="0"/>
          <w:strike w:val="0"/>
          <w:color w:val="1f497d"/>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i w:val="1"/>
          <w:smallCaps w:val="0"/>
          <w:strike w:val="0"/>
          <w:color w:val="1f497d"/>
          <w:sz w:val="32"/>
          <w:szCs w:val="32"/>
          <w:u w:val="none"/>
          <w:shd w:fill="auto" w:val="clear"/>
          <w:vertAlign w:val="baseline"/>
          <w:rtl w:val="0"/>
        </w:rPr>
        <w:t xml:space="preserve">Cos’è il PTOF triennale                                                   </w:t>
      </w:r>
    </w:p>
    <w:p w:rsidR="00000000" w:rsidDel="00000000" w:rsidP="00000000" w:rsidRDefault="00000000" w:rsidRPr="00000000" w14:paraId="00000003">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È lo strumento che le scuole utilizzano per la programmazione educativo – formativa e la caratterizzazione delle proprie peculiarità in rapporto al territorio di appartenenza, a partire dall’ATTO di INDIRIZZO del D. S.</w:t>
      </w:r>
    </w:p>
    <w:p w:rsidR="00000000" w:rsidDel="00000000" w:rsidP="00000000" w:rsidRDefault="00000000" w:rsidRPr="00000000" w14:paraId="00000004">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Legge 107/2015 di Riforma del sistema nazionale di istruzione e formazione demanda al Collegio dei Docenti la funzione di elaborazione del Piano dell’Offerta formativa sulla base però “degli indirizzi per le attività della scuola e delle scelte di gestione e di amministrazione definiti dal dirigente scolastico” (art.1 – comma 14), Atto di indirizzo del Dirigente scolastico. </w:t>
      </w:r>
    </w:p>
    <w:p w:rsidR="00000000" w:rsidDel="00000000" w:rsidP="00000000" w:rsidRDefault="00000000" w:rsidRPr="00000000" w14:paraId="00000005">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Le istituzioni scolastiche predispongono il Piano Triennale dell’Offerta Formativa (d’ora in poi: Piano); </w:t>
      </w:r>
    </w:p>
    <w:p w:rsidR="00000000" w:rsidDel="00000000" w:rsidP="00000000" w:rsidRDefault="00000000" w:rsidRPr="00000000" w14:paraId="00000006">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il Piano deve essere elaborato dal Collegio dei docenti sulla base degli indirizzi per le attività della scuola e delle scelte di gestione e di amministrazione definiti dal Dirigente scolastico; </w:t>
      </w:r>
    </w:p>
    <w:p w:rsidR="00000000" w:rsidDel="00000000" w:rsidP="00000000" w:rsidRDefault="00000000" w:rsidRPr="00000000" w14:paraId="00000007">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il Piano è approvato dal Consiglio d’Istituto; </w:t>
      </w:r>
    </w:p>
    <w:p w:rsidR="00000000" w:rsidDel="00000000" w:rsidP="00000000" w:rsidRDefault="00000000" w:rsidRPr="00000000" w14:paraId="00000008">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esso viene sottoposto alla verifica dell’USR per accettarne la compatibilità con i limiti d’organico assegnato e, all’esito della verifica, trasmesso dal medesimo USR al MIM (Ministero dell’Istruzione e del Merito); </w:t>
      </w:r>
    </w:p>
    <w:p w:rsidR="00000000" w:rsidDel="00000000" w:rsidP="00000000" w:rsidRDefault="00000000" w:rsidRPr="00000000" w14:paraId="00000009">
      <w:pPr>
        <w:spacing w:after="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una volta espletate le procedure di cui ai precedenti punti, il Piano verrà pubblicato nel portale unico dei dati della scuola.</w:t>
      </w:r>
    </w:p>
    <w:p w:rsidR="00000000" w:rsidDel="00000000" w:rsidP="00000000" w:rsidRDefault="00000000" w:rsidRPr="00000000" w14:paraId="0000000A">
      <w:pPr>
        <w:spacing w:after="12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200" w:line="276" w:lineRule="auto"/>
        <w:rPr/>
      </w:pPr>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b w:val="1"/>
          <w:i w:val="1"/>
          <w:color w:val="1f497d"/>
          <w:sz w:val="32"/>
          <w:szCs w:val="32"/>
        </w:rPr>
      </w:pPr>
      <w:r w:rsidDel="00000000" w:rsidR="00000000" w:rsidRPr="00000000">
        <w:rPr>
          <w:rFonts w:ascii="Times New Roman" w:cs="Times New Roman" w:eastAsia="Times New Roman" w:hAnsi="Times New Roman"/>
          <w:b w:val="1"/>
          <w:i w:val="1"/>
          <w:color w:val="1f497d"/>
          <w:sz w:val="32"/>
          <w:szCs w:val="32"/>
          <w:rtl w:val="0"/>
        </w:rPr>
        <w:t xml:space="preserve">Introduzione</w:t>
      </w:r>
    </w:p>
    <w:p w:rsidR="00000000" w:rsidDel="00000000" w:rsidP="00000000" w:rsidRDefault="00000000" w:rsidRPr="00000000" w14:paraId="0000000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punteggio della scuola nelle ultime prove INVALSI è in linea con quello di scuole con background socio-economico e culturale simile. In particolare: nel Liceo in italiano e in inglese, mentre nel Professionale in matematica e in inglese.</w:t>
      </w:r>
    </w:p>
    <w:p w:rsidR="00000000" w:rsidDel="00000000" w:rsidP="00000000" w:rsidRDefault="00000000" w:rsidRPr="00000000" w14:paraId="0000000E">
      <w:pP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Ci sono, tuttavia, casi di singole classi che si discostano in negativo dalla media della scuola: nel Liceo in matematica e nel Professionale in italiano.</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Quest’ultima evidenza è dovuta alla rilevante presenza di studenti non italofoni e provenienti da contesti socio-culturali deprivati, incisiva nel biennio degli IeFP e degli IP dell'Istituto nel ramo IPIA. Per questi studenti fondamentali sono gli interventi curricolari di potenziamento per l’apprendimento della Lingua italiana, veicolare per il loro percorso formativo.</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generale risultano necessari interventi di potenziamento nell’area logico matematica nel Liceo e nell’ambito della lingua italiana nel Professionale, attraverso attività curricolari ed extracurricolari.</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È prioritario investire sulla didattica a piccoli gruppi, sui corsi di recupero e sull’alfabetizzazione, sull’utilizzo di software di laboratori linguistici, su stage all’estero e sull’innovazione metodologica con strumenti multimediali.</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L’Organico dell’Autonomia viene utilizzato per la didattica a piccoli gruppi per i corsi di recupero e per l’alfabetizzazione degli alunni stranieri.</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Molte classi utilizzano i laboratori e diversi docenti si impegnano a ricercare strategie diversificate per favorire l'apprendimento degli studenti, la loro inclusione e il superamento delle loro difficoltà cognitive, relazionali e personali.</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Gli studenti non ammessi all’anno successivo e/o gli abbandoni in generale sono in linea con i riferimenti nazionali, anche se in alcuni anni di corso, sezioni, plessi o indirizzi, sono superiori. Nonostante le tante azioni per ri-motivare gli studenti in difficoltà e favorirne il successo scolastico, ancora alcuni di loro non raggiungono risultati soddisfacenti e non si riesce ad incidere sulle loro fragilità educativo-didattiche.</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Detto ciò, diventa prioritaria la necessità di ri-motivare i diversi studenti che provengono da uno o più insuccessi scolastici a sostenere il completamento del nuovo percorso. Le classi sono spesso formate da studenti provenienti da diversi livelli di istruzione e questo rende molto complesso tale compito, seppur la maggior parte abbia atteggiamenti positivi e partecipi volentieri alle diverse attività scolastiche.</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ribadisce l’importanza dello sviluppo delle eccellenze, attraverso iniziative e progetti finalizzati alla loro valorizzazione.</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Circa l’80% degli studenti di tutti gli indirizzi completa l’intero percorso scolastico.</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distribuzione dei voti all’Esame di Stato evidenzia una concentrazione lievemente superiore ai riferimenti nazionali di studenti collocati nelle fasce di punteggio più basse (60-70).</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monitoraggio dei dati relativi al numero di studenti che prosegue gli studi all’Università evidenzia una bassissima percentuale nell’indirizzo industriale, mentre insufficienti sono i dati raccolti per gli altri indirizzi. Superiore alle medie di riferimento è invece il numero di studenti che trova occupazione lavorativa durante gli studi e al termine degli stessi: 25% degli studenti delle classi IP del ramo industriale, 10% del ramo dei servizi e almeno il 70% del ramo IeFP.</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Oggi l’Istituto professionale assume sempre più il compito di preparare gli studenti – per conoscenze e competenze professionali e relazionali – al fine dell’inserimento nel mondo del lavoro; in quest’ottica si favoriscono project work, percorsi di PCTO, percorsi di microspecializzazione e il progetto di Apprendistato di I livello, che sta interessando quasi tutti gli indirizzi dell’Istituto.</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rapporto con il territorio e in particolare con i principali enti, aziende e servizi, diventa pertanto fondamentale e sempre più da implementare.</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priorità del nostro Istituto sono anche favorire la partecipazione degli studenti al percorso scolastico e alla crescita personale e civile e, in una prospettiva di inclusione, favorire altresì l’integrazione tra i tanti gruppi etnici presenti. Vengono pertanto promosse iniziative e progetti relativi all’accoglienza e alla didattica personalizzata, per dare pari opportunità a tutti gli studenti.</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scuola promuove la differenziazione dei percorsi didattici in funzione dei bisogni educativi degli studenti: in alcune classi la presenza di alunni con BES è elevata.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fragilità dei contesti familiari di riferimento resta un elemento di grande criticità. </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relazione tra gli studenti degli indirizzi industriali risulta a volte problematica per la difficoltà di rispettare le regole di convivenza civile; per gli altri indirizzi tale problema è meno presente se non in qualche caso.</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promuove una maggiore attenzione rispetto ad approcci didattici più rispondenti alle esigenze formative dei singoli indirizzi di studio, soprattutto per l’indirizzo industriale si traduce in una didattica centrata su quella laboratoriale, in linea con la metodologia didattica per competenze, che abbia come fulcro una progettualità per assi, ormai da estendere a tutto l’indirizzo Professionale. </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Ciò detto, è perciò necessario mantenere costanti gli investimenti per mantenere i laboratori sempre attuali e </w:t>
      </w:r>
      <w:r w:rsidDel="00000000" w:rsidR="00000000" w:rsidRPr="00000000">
        <w:rPr>
          <w:rFonts w:ascii="Times New Roman" w:cs="Times New Roman" w:eastAsia="Times New Roman" w:hAnsi="Times New Roman"/>
          <w:sz w:val="24"/>
          <w:szCs w:val="24"/>
          <w:rtl w:val="0"/>
        </w:rPr>
        <w:t xml:space="preserve">moderni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Patto educativo viene condiviso e richiamato in tutte le classi, tuttavia le note per bullismo e il numero di ritardi, seppur in diminuzione, costituiscono aree di miglioramento. Alcuni studenti non riescono a rispettare le regole della convivenza civile ed alcuni docenti faticano nell'utilizzare strategie didattiche coinvolgenti, alcuni di loro non sono adeguatamente motivati a lavorare nel contesto di appartenenza.</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Ciò detto, si evince la necessità di relative attività formative per i docenti ed iniziative e progetti nell’ambito della Legalità e dell’educazione alla salute, in collaborazione con Reti di scuole e con soggetti presenti sul territorio, che già sono presenti nell’offerta formativa.</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scuola ha definito gli aspetti del proprio curricolo per la maggior parte delle discipline, declinandoli in obiettivi e abilità/competenze da raggiungere.</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progettazione didattica viene effettuata in modo abbastanza condiviso per ambiti disciplinari. I docenti utilizzano generalmente modelli comuni per la progettazione didattica, strumenti comuni per la valutazione degli studenti, ed hanno momenti di incontro anche informali per condividere i risultati della valutazione. La scuola utilizza forme di certificazione delle competenze degli studenti e realizza regolarmente interventi specifici a seguito della valutazione degli studenti.</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scuola partecipa a Reti e, come già menzionato, ha collaborazioni con soggetti esterni. Le collaborazioni attivate sono integrate in modo adeguato con l'offerta formativa. La scuola è coinvolta in momenti di confronto con i soggetti presenti nel territorio per la promozione delle politiche formative. </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realizzano iniziative rivolte ai genitori e momenti di confronto con i genitori sull'offerta formativa, tuttavia la loro partecipazione risulta ancora molto limitata, così come quella ai vari momenti collegiali della vita scolastica.</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alcuni casi si comprende che le famiglie non leggono neppure il registro elettronico e la documentazione prodotta dalla scuola e da consegnare alle famiglie in diverse occasioni resta senza seguito. </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1E59F6"/>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Rimandocommento">
    <w:name w:val="annotation reference"/>
    <w:basedOn w:val="Carpredefinitoparagrafo"/>
    <w:uiPriority w:val="99"/>
    <w:semiHidden w:val="1"/>
    <w:unhideWhenUsed w:val="1"/>
    <w:rsid w:val="00A130ED"/>
    <w:rPr>
      <w:sz w:val="16"/>
      <w:szCs w:val="16"/>
    </w:rPr>
  </w:style>
  <w:style w:type="paragraph" w:styleId="Testocommento">
    <w:name w:val="annotation text"/>
    <w:basedOn w:val="Normale"/>
    <w:link w:val="TestocommentoCarattere"/>
    <w:uiPriority w:val="99"/>
    <w:semiHidden w:val="1"/>
    <w:unhideWhenUsed w:val="1"/>
    <w:rsid w:val="00A130ED"/>
    <w:pPr>
      <w:spacing w:line="240" w:lineRule="auto"/>
    </w:pPr>
    <w:rPr>
      <w:sz w:val="20"/>
      <w:szCs w:val="20"/>
    </w:rPr>
  </w:style>
  <w:style w:type="character" w:styleId="TestocommentoCarattere" w:customStyle="1">
    <w:name w:val="Testo commento Carattere"/>
    <w:basedOn w:val="Carpredefinitoparagrafo"/>
    <w:link w:val="Testocommento"/>
    <w:uiPriority w:val="99"/>
    <w:semiHidden w:val="1"/>
    <w:rsid w:val="00A130ED"/>
    <w:rPr>
      <w:sz w:val="20"/>
      <w:szCs w:val="20"/>
    </w:rPr>
  </w:style>
  <w:style w:type="paragraph" w:styleId="Soggettocommento">
    <w:name w:val="annotation subject"/>
    <w:basedOn w:val="Testocommento"/>
    <w:next w:val="Testocommento"/>
    <w:link w:val="SoggettocommentoCarattere"/>
    <w:uiPriority w:val="99"/>
    <w:semiHidden w:val="1"/>
    <w:unhideWhenUsed w:val="1"/>
    <w:rsid w:val="00A130ED"/>
    <w:rPr>
      <w:b w:val="1"/>
      <w:bCs w:val="1"/>
    </w:rPr>
  </w:style>
  <w:style w:type="character" w:styleId="SoggettocommentoCarattere" w:customStyle="1">
    <w:name w:val="Soggetto commento Carattere"/>
    <w:basedOn w:val="TestocommentoCarattere"/>
    <w:link w:val="Soggettocommento"/>
    <w:uiPriority w:val="99"/>
    <w:semiHidden w:val="1"/>
    <w:rsid w:val="00A130ED"/>
    <w:rPr>
      <w:b w:val="1"/>
      <w:bCs w:val="1"/>
      <w:sz w:val="20"/>
      <w:szCs w:val="20"/>
    </w:rPr>
  </w:style>
  <w:style w:type="paragraph" w:styleId="Paragrafoelenco">
    <w:name w:val="List Paragraph"/>
    <w:basedOn w:val="Normale"/>
    <w:uiPriority w:val="34"/>
    <w:qFormat w:val="1"/>
    <w:rsid w:val="0042195C"/>
    <w:pPr>
      <w:ind w:left="720"/>
      <w:contextualSpacing w:val="1"/>
    </w:pPr>
  </w:style>
  <w:style w:type="paragraph" w:styleId="miocorpotesto" w:customStyle="1">
    <w:name w:val="mio_corpo_testo"/>
    <w:basedOn w:val="Corpotesto"/>
    <w:rsid w:val="003C63CA"/>
    <w:pPr>
      <w:suppressAutoHyphens w:val="1"/>
      <w:spacing w:line="276" w:lineRule="auto"/>
      <w:jc w:val="both"/>
    </w:pPr>
    <w:rPr>
      <w:rFonts w:ascii="Times New Roman" w:cs="Times New Roman" w:eastAsia="Times New Roman" w:hAnsi="Times New Roman"/>
      <w:sz w:val="24"/>
      <w:szCs w:val="20"/>
      <w:lang w:eastAsia="zh-CN"/>
    </w:rPr>
  </w:style>
  <w:style w:type="paragraph" w:styleId="Corpotesto">
    <w:name w:val="Body Text"/>
    <w:basedOn w:val="Normale"/>
    <w:link w:val="CorpotestoCarattere"/>
    <w:uiPriority w:val="99"/>
    <w:semiHidden w:val="1"/>
    <w:unhideWhenUsed w:val="1"/>
    <w:rsid w:val="003C63CA"/>
    <w:pPr>
      <w:spacing w:after="120"/>
    </w:pPr>
  </w:style>
  <w:style w:type="character" w:styleId="CorpotestoCarattere" w:customStyle="1">
    <w:name w:val="Corpo testo Carattere"/>
    <w:basedOn w:val="Carpredefinitoparagrafo"/>
    <w:link w:val="Corpotesto"/>
    <w:uiPriority w:val="99"/>
    <w:semiHidden w:val="1"/>
    <w:rsid w:val="003C63CA"/>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LAg1F9svBn3DXBvKGLB1qMUaZQ==">CgMxLjAyCGguZ2pkZ3hzOAByITFaeUVBd0pibDJKdDBldzJQT2RkWHZhMTl4TXV6TFBBZA==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2022-03-06T08:32:00Z</dcterms:created>
  <dc:creator>Emanuela Sala</dc:creator>
</cp:coreProperties>
</file>